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B6" w:rsidRPr="006B6FE8" w:rsidRDefault="00604BB6" w:rsidP="006B6FE8">
      <w:pPr>
        <w:keepNext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6B6FE8" w:rsidRDefault="00B26075" w:rsidP="006B6FE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B26075" w:rsidRPr="006B6FE8" w:rsidRDefault="00B26075" w:rsidP="006B6FE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 МАРКС</w:t>
      </w:r>
    </w:p>
    <w:p w:rsidR="00B26075" w:rsidRPr="006B6FE8" w:rsidRDefault="00812D0D" w:rsidP="006B6FE8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ПРОЕКТ</w:t>
      </w:r>
    </w:p>
    <w:p w:rsidR="007862BD" w:rsidRPr="006B6FE8" w:rsidRDefault="007862BD" w:rsidP="006B6F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Default="00B26075" w:rsidP="006B6F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03760" w:rsidRPr="006B6FE8" w:rsidRDefault="00C03760" w:rsidP="006B6FE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Default="00B26075" w:rsidP="006B6FE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03760" w:rsidRPr="00C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26.06.2020 </w:t>
      </w:r>
      <w:r w:rsidRPr="00C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A6445" w:rsidRPr="00C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03760" w:rsidRPr="00C03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</w:t>
      </w:r>
    </w:p>
    <w:p w:rsidR="00C03760" w:rsidRPr="00C03760" w:rsidRDefault="00C03760" w:rsidP="006B6FE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6B6FE8" w:rsidRDefault="00B26075" w:rsidP="006B6FE8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6B6FE8" w:rsidRDefault="00B26075" w:rsidP="006B6FE8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972873"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Правил</w:t>
      </w:r>
      <w:r w:rsidR="009C569A"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землепользования и застройки муниципального образования город Маркс Саратовской области, утвержденные решением Совет</w:t>
      </w:r>
      <w:r w:rsidR="00D67FAB"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город</w:t>
      </w:r>
      <w:r w:rsidR="00F85860"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Маркс Саратовской области от 22 декабря </w:t>
      </w: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85860"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F85860"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264</w:t>
      </w:r>
      <w:r w:rsidR="007862BD" w:rsidRPr="006B6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62BD" w:rsidRPr="006B6FE8" w:rsidRDefault="007862BD" w:rsidP="006B6FE8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6B6FE8" w:rsidRDefault="00B26075" w:rsidP="006B6FE8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6B6FE8" w:rsidRDefault="00B26075" w:rsidP="006B6FE8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B6FE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статьями 32</w:t>
        </w:r>
      </w:hyperlink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6B6FE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33</w:t>
        </w:r>
      </w:hyperlink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9" w:history="1">
        <w:r w:rsidRPr="006B6FE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0" w:history="1">
        <w:r w:rsidRPr="006B6FE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6B6FE8" w:rsidRDefault="00E7055E" w:rsidP="006B6FE8">
      <w:pPr>
        <w:keepNext/>
        <w:widowControl w:val="0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6B6FE8" w:rsidRDefault="00B26075" w:rsidP="006B6FE8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6075" w:rsidRPr="006B6FE8" w:rsidRDefault="00B26075" w:rsidP="006B6FE8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"/>
    </w:p>
    <w:p w:rsidR="00E7055E" w:rsidRPr="006B6FE8" w:rsidRDefault="00B26075" w:rsidP="00682B5B">
      <w:pPr>
        <w:keepNext/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F85860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55B6E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860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муниципального образования город Маркс Саратовской области, утвержденные решением Совета муниципального образования город Маркс Саратовской области от </w:t>
      </w:r>
      <w:r w:rsidR="00E7055E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2017 г. № 264 (с изменениями</w:t>
      </w:r>
      <w:r w:rsidR="00C85903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B6E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дополнениями</w:t>
      </w:r>
      <w:r w:rsidR="00C85903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55E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322B5" w:rsidRPr="006B6FE8" w:rsidRDefault="003322B5" w:rsidP="00682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2"/>
      <w:bookmarkEnd w:id="0"/>
      <w:r w:rsidRPr="006B6FE8">
        <w:rPr>
          <w:rFonts w:ascii="Times New Roman" w:hAnsi="Times New Roman" w:cs="Times New Roman"/>
          <w:sz w:val="28"/>
          <w:szCs w:val="28"/>
        </w:rPr>
        <w:t>- с</w:t>
      </w:r>
      <w:r w:rsidRPr="006B6FE8">
        <w:rPr>
          <w:rFonts w:ascii="Times New Roman" w:eastAsia="Times New Roman" w:hAnsi="Times New Roman" w:cs="Times New Roman"/>
          <w:sz w:val="28"/>
          <w:szCs w:val="28"/>
        </w:rPr>
        <w:t>татью 4</w:t>
      </w:r>
      <w:r w:rsidR="008E2D0B" w:rsidRPr="006B6F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6FE8">
        <w:rPr>
          <w:rFonts w:ascii="Times New Roman" w:eastAsia="Times New Roman" w:hAnsi="Times New Roman" w:cs="Times New Roman"/>
          <w:sz w:val="28"/>
          <w:szCs w:val="28"/>
        </w:rPr>
        <w:t xml:space="preserve"> главы 11 части </w:t>
      </w:r>
      <w:r w:rsidRPr="006B6FE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6B6F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 муниципального образования город Маркс</w:t>
      </w:r>
      <w:r w:rsidRPr="006B6FE8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статьей 4</w:t>
      </w:r>
      <w:r w:rsidR="008E2D0B" w:rsidRPr="006B6F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6F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53655" w:rsidRPr="006B6FE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B6FE8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приложению;</w:t>
      </w:r>
    </w:p>
    <w:p w:rsidR="003322B5" w:rsidRPr="006B6FE8" w:rsidRDefault="003322B5" w:rsidP="00682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FE8">
        <w:rPr>
          <w:rFonts w:ascii="Times New Roman" w:eastAsia="Times New Roman" w:hAnsi="Times New Roman" w:cs="Times New Roman"/>
          <w:sz w:val="28"/>
          <w:szCs w:val="28"/>
        </w:rPr>
        <w:t xml:space="preserve">- внести изменения в </w:t>
      </w:r>
      <w:r w:rsidRPr="006B6FE8">
        <w:rPr>
          <w:rFonts w:ascii="Times New Roman" w:hAnsi="Times New Roman" w:cs="Times New Roman"/>
          <w:sz w:val="28"/>
          <w:szCs w:val="28"/>
        </w:rPr>
        <w:t>Карту границ с особыми условиями использования территории МО  «Город Маркс», 1:10 000.</w:t>
      </w:r>
    </w:p>
    <w:p w:rsidR="00B26075" w:rsidRPr="006B6FE8" w:rsidRDefault="00B26075" w:rsidP="00682B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bookmarkEnd w:id="1"/>
    <w:p w:rsidR="00B26075" w:rsidRDefault="009C569A" w:rsidP="00682B5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85903"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B6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подлежит опубликованию в газете </w:t>
      </w:r>
      <w:r w:rsidRPr="006B6FE8">
        <w:rPr>
          <w:rFonts w:ascii="Times New Roman" w:eastAsia="Calibri" w:hAnsi="Times New Roman" w:cs="Times New Roman"/>
          <w:sz w:val="28"/>
          <w:szCs w:val="28"/>
        </w:rPr>
        <w:t>МУП ЕРМ СМИ «Воложка» и разме</w:t>
      </w:r>
      <w:r w:rsidR="00C85903" w:rsidRPr="006B6FE8">
        <w:rPr>
          <w:rFonts w:ascii="Times New Roman" w:eastAsia="Calibri" w:hAnsi="Times New Roman" w:cs="Times New Roman"/>
          <w:sz w:val="28"/>
          <w:szCs w:val="28"/>
        </w:rPr>
        <w:t xml:space="preserve">щению </w:t>
      </w:r>
      <w:r w:rsidRPr="006B6FE8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</w:t>
      </w:r>
      <w:bookmarkStart w:id="2" w:name="_GoBack"/>
      <w:bookmarkEnd w:id="2"/>
      <w:r w:rsidRPr="006B6FE8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Маркс.</w:t>
      </w:r>
    </w:p>
    <w:p w:rsidR="00C03760" w:rsidRDefault="00C03760" w:rsidP="006B6FE8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3760" w:rsidRDefault="00C03760" w:rsidP="006B6FE8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3760" w:rsidRDefault="00C03760" w:rsidP="006B6FE8">
      <w:pPr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C03760" w:rsidRPr="006B6FE8" w:rsidRDefault="00C03760" w:rsidP="00C03760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6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6B6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6B6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03760" w:rsidRPr="006B6FE8" w:rsidRDefault="00C03760" w:rsidP="00C0376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6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город Маркс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Pr="006B6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Г. </w:t>
      </w:r>
      <w:proofErr w:type="spellStart"/>
      <w:r w:rsidRPr="006B6F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Коштаненков</w:t>
      </w:r>
      <w:proofErr w:type="spellEnd"/>
    </w:p>
    <w:p w:rsidR="00B533F1" w:rsidRPr="006B6FE8" w:rsidRDefault="00B533F1" w:rsidP="006B6FE8">
      <w:pPr>
        <w:keepNext/>
        <w:widowControl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4BB6" w:rsidRPr="00BD7847" w:rsidRDefault="00C03760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f3"/>
          <w:rFonts w:ascii="Times New Roman" w:hAnsi="Times New Roman"/>
          <w:b w:val="0"/>
          <w:color w:val="auto"/>
          <w:sz w:val="24"/>
          <w:szCs w:val="24"/>
        </w:rPr>
        <w:t>П</w:t>
      </w:r>
      <w:r w:rsidR="00604BB6" w:rsidRPr="00BD7847">
        <w:rPr>
          <w:rStyle w:val="af3"/>
          <w:rFonts w:ascii="Times New Roman" w:hAnsi="Times New Roman"/>
          <w:b w:val="0"/>
          <w:color w:val="auto"/>
          <w:sz w:val="24"/>
          <w:szCs w:val="24"/>
        </w:rPr>
        <w:t>риложение к решению Совета муниципального</w:t>
      </w:r>
    </w:p>
    <w:p w:rsidR="00604BB6" w:rsidRPr="00BD7847" w:rsidRDefault="00604BB6" w:rsidP="00604BB6">
      <w:pPr>
        <w:spacing w:after="0"/>
        <w:ind w:left="5954"/>
        <w:rPr>
          <w:rStyle w:val="af3"/>
          <w:rFonts w:ascii="Times New Roman" w:hAnsi="Times New Roman"/>
          <w:b w:val="0"/>
          <w:color w:val="auto"/>
          <w:sz w:val="24"/>
          <w:szCs w:val="24"/>
        </w:rPr>
      </w:pPr>
      <w:r w:rsidRPr="00BD7847">
        <w:rPr>
          <w:rStyle w:val="af3"/>
          <w:rFonts w:ascii="Times New Roman" w:hAnsi="Times New Roman"/>
          <w:b w:val="0"/>
          <w:color w:val="auto"/>
          <w:sz w:val="24"/>
          <w:szCs w:val="24"/>
        </w:rPr>
        <w:t>образования город Маркс</w:t>
      </w:r>
    </w:p>
    <w:p w:rsidR="00604BB6" w:rsidRPr="00BD7847" w:rsidRDefault="00604BB6" w:rsidP="00604BB6">
      <w:pPr>
        <w:spacing w:after="0"/>
        <w:ind w:left="5954"/>
        <w:rPr>
          <w:b/>
          <w:sz w:val="24"/>
          <w:szCs w:val="24"/>
        </w:rPr>
      </w:pPr>
      <w:r w:rsidRPr="00BD784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C03760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26.06.</w:t>
      </w:r>
      <w:r w:rsidRPr="00BD784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153674" w:rsidRPr="00BD7847">
        <w:rPr>
          <w:rStyle w:val="af3"/>
          <w:rFonts w:ascii="Times New Roman" w:hAnsi="Times New Roman"/>
          <w:b w:val="0"/>
          <w:color w:val="auto"/>
          <w:sz w:val="24"/>
          <w:szCs w:val="24"/>
        </w:rPr>
        <w:t>20</w:t>
      </w:r>
      <w:r w:rsidR="00C03760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г.</w:t>
      </w:r>
      <w:r w:rsidRPr="00BD7847">
        <w:rPr>
          <w:rStyle w:val="af3"/>
          <w:rFonts w:ascii="Times New Roman" w:hAnsi="Times New Roman"/>
          <w:b w:val="0"/>
          <w:color w:val="auto"/>
          <w:sz w:val="24"/>
          <w:szCs w:val="24"/>
        </w:rPr>
        <w:t xml:space="preserve">  № </w:t>
      </w:r>
      <w:r w:rsidR="00C03760">
        <w:rPr>
          <w:rStyle w:val="af3"/>
          <w:rFonts w:ascii="Times New Roman" w:hAnsi="Times New Roman"/>
          <w:b w:val="0"/>
          <w:color w:val="auto"/>
          <w:sz w:val="24"/>
          <w:szCs w:val="24"/>
        </w:rPr>
        <w:t>141</w:t>
      </w:r>
    </w:p>
    <w:p w:rsidR="00604BB6" w:rsidRPr="00BD7847" w:rsidRDefault="00604BB6" w:rsidP="00604B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BB6" w:rsidRPr="00853655" w:rsidRDefault="00604BB6" w:rsidP="00153674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655">
        <w:rPr>
          <w:rFonts w:ascii="Times New Roman" w:hAnsi="Times New Roman" w:cs="Times New Roman"/>
          <w:b/>
          <w:sz w:val="26"/>
          <w:szCs w:val="26"/>
        </w:rPr>
        <w:t>Статья 4</w:t>
      </w:r>
      <w:r w:rsidR="00153674" w:rsidRPr="00853655">
        <w:rPr>
          <w:rFonts w:ascii="Times New Roman" w:hAnsi="Times New Roman" w:cs="Times New Roman"/>
          <w:b/>
          <w:sz w:val="26"/>
          <w:szCs w:val="26"/>
        </w:rPr>
        <w:t>6</w:t>
      </w:r>
      <w:r w:rsidRPr="00853655">
        <w:rPr>
          <w:rFonts w:ascii="Times New Roman" w:hAnsi="Times New Roman" w:cs="Times New Roman"/>
          <w:b/>
          <w:sz w:val="26"/>
          <w:szCs w:val="26"/>
        </w:rPr>
        <w:t>.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>2</w:t>
      </w:r>
      <w:r w:rsidRPr="0085365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Режимы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использования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земель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земельных</w:t>
      </w:r>
      <w:r w:rsidR="00853655" w:rsidRPr="0085365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участков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>и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требования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>к</w:t>
      </w:r>
      <w:r w:rsidR="00853655" w:rsidRPr="00853655">
        <w:rPr>
          <w:rFonts w:ascii="Times New Roman" w:hAnsi="Times New Roman" w:cs="Times New Roman"/>
          <w:b/>
          <w:spacing w:val="37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градостроительным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регламентам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границах</w:t>
      </w:r>
      <w:r w:rsidR="00853655" w:rsidRPr="0085365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>зон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>охраны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объекта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культурного</w:t>
      </w:r>
      <w:r w:rsidR="00853655" w:rsidRPr="0085365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наследия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местного</w:t>
      </w:r>
      <w:r w:rsidR="00853655" w:rsidRPr="00853655">
        <w:rPr>
          <w:rFonts w:ascii="Times New Roman" w:hAnsi="Times New Roman" w:cs="Times New Roman"/>
          <w:b/>
          <w:spacing w:val="70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(муниципального)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значения «Магазин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Миллера»,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>кон.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XIX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proofErr w:type="gramStart"/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в</w:t>
      </w:r>
      <w:proofErr w:type="gramEnd"/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.,</w:t>
      </w:r>
      <w:r w:rsidR="00853655" w:rsidRPr="00853655">
        <w:rPr>
          <w:rFonts w:ascii="Times New Roman" w:hAnsi="Times New Roman" w:cs="Times New Roman"/>
          <w:b/>
          <w:spacing w:val="29"/>
          <w:sz w:val="26"/>
          <w:szCs w:val="26"/>
        </w:rPr>
        <w:t xml:space="preserve"> </w:t>
      </w:r>
      <w:proofErr w:type="gramStart"/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Саратовская</w:t>
      </w:r>
      <w:proofErr w:type="gramEnd"/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область,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>г.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Маркс, 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>ул.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Бебеля,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69</w:t>
      </w:r>
    </w:p>
    <w:p w:rsidR="00153674" w:rsidRPr="00853655" w:rsidRDefault="00153674" w:rsidP="00153674">
      <w:pPr>
        <w:tabs>
          <w:tab w:val="left" w:pos="48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3655" w:rsidRPr="00853655" w:rsidRDefault="00853655" w:rsidP="00853655">
      <w:pPr>
        <w:pStyle w:val="aa"/>
        <w:ind w:right="-2" w:firstLine="700"/>
        <w:jc w:val="both"/>
        <w:rPr>
          <w:b/>
          <w:sz w:val="26"/>
          <w:szCs w:val="26"/>
        </w:rPr>
      </w:pPr>
      <w:r w:rsidRPr="00853655">
        <w:rPr>
          <w:b/>
          <w:sz w:val="26"/>
          <w:szCs w:val="26"/>
        </w:rPr>
        <w:t xml:space="preserve">Режим  использования  земель и земельных  участков  и требования к градостроительным регламентам в границах охранной зоны </w:t>
      </w:r>
      <w:proofErr w:type="gramStart"/>
      <w:r w:rsidRPr="00853655">
        <w:rPr>
          <w:b/>
          <w:sz w:val="26"/>
          <w:szCs w:val="26"/>
        </w:rPr>
        <w:t>ОЗ</w:t>
      </w:r>
      <w:proofErr w:type="gramEnd"/>
      <w:r w:rsidRPr="00853655">
        <w:rPr>
          <w:b/>
          <w:sz w:val="26"/>
          <w:szCs w:val="26"/>
        </w:rPr>
        <w:t xml:space="preserve"> устанавливаются с учетом следующих требований:</w:t>
      </w:r>
    </w:p>
    <w:p w:rsidR="00853655" w:rsidRPr="00853655" w:rsidRDefault="00853655" w:rsidP="00853655">
      <w:pPr>
        <w:pStyle w:val="aa"/>
        <w:ind w:right="-2" w:firstLine="700"/>
        <w:jc w:val="both"/>
        <w:rPr>
          <w:b/>
          <w:sz w:val="26"/>
          <w:szCs w:val="26"/>
        </w:rPr>
      </w:pPr>
      <w:r w:rsidRPr="00853655">
        <w:rPr>
          <w:b/>
          <w:sz w:val="26"/>
          <w:szCs w:val="26"/>
        </w:rPr>
        <w:t>разрешается: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осуществление изыскательских, земляных работ и иной хозяйственной деятельности на земельных участках, непосредственно связанных с земельным участком в границах территории объекта культурного наследия, при наличии в проектной документации разделов по обеспечению сохранности объекта культурного наследия;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капитальный ремонт и реконструкция существующих объектов инженерной инфраструктуры, прокладка новых инженерных коммуникаций подземным способом;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применение отдельно стоящего оборудования освещения; благоустройство территории с использованием следующих материалов: в мощении тротуаров - асфальт, брусчатка;</w:t>
      </w:r>
    </w:p>
    <w:p w:rsidR="00853655" w:rsidRDefault="00853655" w:rsidP="00853655">
      <w:pPr>
        <w:pStyle w:val="aa"/>
        <w:tabs>
          <w:tab w:val="left" w:pos="3847"/>
          <w:tab w:val="left" w:pos="5247"/>
          <w:tab w:val="left" w:pos="7380"/>
        </w:tabs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 xml:space="preserve">малые архитектурные формы - дерево, камень, кованый металл; </w:t>
      </w:r>
    </w:p>
    <w:p w:rsidR="00853655" w:rsidRPr="00853655" w:rsidRDefault="00853655" w:rsidP="00853655">
      <w:pPr>
        <w:pStyle w:val="aa"/>
        <w:tabs>
          <w:tab w:val="left" w:pos="3847"/>
          <w:tab w:val="left" w:pos="5247"/>
          <w:tab w:val="left" w:pos="7380"/>
        </w:tabs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благоустройства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(в  том  числе  скамьи,  урны,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цветочницы), отвечающих характеристикам элементов исторической среды; санитарная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вырубка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деревьев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замене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больных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и усыхающих насаждений;</w:t>
      </w:r>
    </w:p>
    <w:p w:rsidR="00853655" w:rsidRDefault="00853655" w:rsidP="00853655">
      <w:pPr>
        <w:pStyle w:val="aa"/>
        <w:tabs>
          <w:tab w:val="left" w:pos="3980"/>
          <w:tab w:val="left" w:pos="5509"/>
          <w:tab w:val="left" w:pos="9571"/>
        </w:tabs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 xml:space="preserve">мероприятия по улучшению породного состава зеленых насаждений; </w:t>
      </w:r>
    </w:p>
    <w:p w:rsidR="00853655" w:rsidRPr="00853655" w:rsidRDefault="00853655" w:rsidP="00853655">
      <w:pPr>
        <w:pStyle w:val="aa"/>
        <w:tabs>
          <w:tab w:val="left" w:pos="3980"/>
          <w:tab w:val="left" w:pos="5509"/>
          <w:tab w:val="left" w:pos="9571"/>
        </w:tabs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информационно-декоративного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оформления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событийного характера, включая праздничное светское оформление; установка средств наружной рекламы и информации: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мобильных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элементов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информационно-декоративного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оформления событийного характера, включая праздничное оформление, устанавливаемых на срок проведения публичных мероприятий;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proofErr w:type="gramStart"/>
      <w:r w:rsidRPr="00853655">
        <w:rPr>
          <w:sz w:val="26"/>
          <w:szCs w:val="26"/>
        </w:rPr>
        <w:t>вывесок, предусмотренных законодательством о защите прав потребителей, размерами не более 0,4 м по горизонтали  и не более  0,6 м по вертикали с размещением не выше отметки нижнего края окон второго этажа (у одноэтажных - не выше нижней отметки карниза здания), в виде отдельных объемных букв и знаков, при консольном расположении вывески максимальный отступ от плоскости фасада не более 0,6 м;</w:t>
      </w:r>
      <w:proofErr w:type="gramEnd"/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 на зданиях и сооружениях  информационных  досок площадью информационного поля не более 0,3 кв. м;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указателей расположения туристских ресурсов шириной 1,2 м и высотой не более 2 м;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lastRenderedPageBreak/>
        <w:t>установка отдельно стоящих средств наружной рекламы и информации с площадью информационного поля до 2,5 кв. м, остановочных модулей, афишных тумб с элементами исторической стилизации не выше 2,5 м;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проведение мероприятий, направленных на обеспечение экологической и пожарной безопасности;</w:t>
      </w:r>
    </w:p>
    <w:p w:rsidR="00853655" w:rsidRPr="00853655" w:rsidRDefault="002353C8" w:rsidP="00853655">
      <w:pPr>
        <w:pStyle w:val="aa"/>
        <w:ind w:right="-2" w:firstLine="700"/>
        <w:jc w:val="both"/>
        <w:rPr>
          <w:b/>
          <w:sz w:val="26"/>
          <w:szCs w:val="26"/>
        </w:rPr>
      </w:pPr>
      <w:r w:rsidRPr="002353C8">
        <w:rPr>
          <w:b/>
          <w:sz w:val="26"/>
          <w:szCs w:val="26"/>
          <w:lang w:val="en-US" w:eastAsia="en-US"/>
        </w:rPr>
        <w:pict>
          <v:group id="_x0000_s1026" style="position:absolute;left:0;text-align:left;margin-left:598.1pt;margin-top:6.35pt;width:.1pt;height:640.6pt;z-index:251660288;mso-position-horizontal-relative:page" coordorigin="11962,127" coordsize="2,12812">
            <v:shape id="_x0000_s1027" style="position:absolute;left:11962;top:127;width:2;height:12812" coordorigin="11962,127" coordsize="0,12812" path="m11962,12939r,-12812e" filled="f" strokeweight="1.44pt">
              <v:path arrowok="t"/>
            </v:shape>
            <w10:wrap anchorx="page"/>
          </v:group>
        </w:pict>
      </w:r>
      <w:r w:rsidR="00853655" w:rsidRPr="00853655">
        <w:rPr>
          <w:b/>
          <w:sz w:val="26"/>
          <w:szCs w:val="26"/>
        </w:rPr>
        <w:t>запрещается: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изменение исторически сложившихся красных линий кварталов; строительство  объектов  капитального  строительства,  за исключением</w:t>
      </w:r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специальных  мер по восстановлению,  воссозданию,  восполнению  частично или полностью утраченных элементов историко-градостроительной  среды;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строительство некапитальных строений, сооружений;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 xml:space="preserve">прокладка инженерных коммуникаций (в том числе теплотрасс, газопровода, </w:t>
      </w:r>
      <w:proofErr w:type="spellStart"/>
      <w:r w:rsidRPr="00853655">
        <w:rPr>
          <w:sz w:val="26"/>
          <w:szCs w:val="26"/>
        </w:rPr>
        <w:t>электрокабеля</w:t>
      </w:r>
      <w:proofErr w:type="spellEnd"/>
      <w:r w:rsidRPr="00853655">
        <w:rPr>
          <w:sz w:val="26"/>
          <w:szCs w:val="26"/>
        </w:rPr>
        <w:t>) наземным и надземным способами, кроме временных, необходимых для проведения работ по сохранению объекта культурного наследия;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использование строительных технологий, создающих динамические нагрузки и оказывающих негативное воздействие на объекты культурного наследия;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 вышек сотовой связи; организация свалок;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размещение взрывопожароопасных объектов, хранение огнеопасных материалов, замусоривание территории;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изменение директивного уровня улиц и тротуаров;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 крупногабаритных  рекламных конструкций с полем площадью более 2,5 кв. м;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 растяжек над дорогой, за исключением  растяжек событийного характера на время проведения мероприятий;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применение   для   отделки    фасадов   железобетонных,    композитных и  иных  панелей,  бетонных  блоков,  шлакоблоков   и  прочих  материалов, не свойственных исторической застройке улиц;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вырубка ценных пород деревьев, за исключением санитарных рубок;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 xml:space="preserve">,установка кондиционеров, антенн и иного инженерного оборудования на фасадах, формирующих фронт застройки улиц, за исключением случаев, когда их установка регулируется общим </w:t>
      </w:r>
      <w:proofErr w:type="gramStart"/>
      <w:r w:rsidRPr="00853655">
        <w:rPr>
          <w:sz w:val="26"/>
          <w:szCs w:val="26"/>
        </w:rPr>
        <w:t>архитектурным решением</w:t>
      </w:r>
      <w:proofErr w:type="gramEnd"/>
      <w:r w:rsidRPr="00853655">
        <w:rPr>
          <w:sz w:val="26"/>
          <w:szCs w:val="26"/>
        </w:rPr>
        <w:t xml:space="preserve"> фасадов;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 xml:space="preserve">в соответствии с приказом Министерства экономического развития Российской Федерации от 1 сентября 2014 года </w:t>
      </w:r>
      <w:r w:rsidRPr="00853655">
        <w:rPr>
          <w:rFonts w:eastAsia="Arial"/>
          <w:sz w:val="26"/>
          <w:szCs w:val="26"/>
        </w:rPr>
        <w:t xml:space="preserve">№ </w:t>
      </w:r>
      <w:r w:rsidRPr="00853655">
        <w:rPr>
          <w:sz w:val="26"/>
          <w:szCs w:val="26"/>
        </w:rPr>
        <w:t xml:space="preserve">540 «Об утверждении классификатора видов </w:t>
      </w:r>
      <w:proofErr w:type="spellStart"/>
      <w:r w:rsidRPr="00853655">
        <w:rPr>
          <w:sz w:val="26"/>
          <w:szCs w:val="26"/>
        </w:rPr>
        <w:t>разрешнного</w:t>
      </w:r>
      <w:proofErr w:type="spellEnd"/>
      <w:r w:rsidRPr="00853655">
        <w:rPr>
          <w:sz w:val="26"/>
          <w:szCs w:val="26"/>
        </w:rPr>
        <w:t xml:space="preserve"> использования  земельных  участков»  - все виды использования земельных участков, за исключением видов разрешенного использования с кодом 12.0 «Земельные участки (территории) общего пользования».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3655">
        <w:rPr>
          <w:rFonts w:ascii="Times New Roman" w:hAnsi="Times New Roman" w:cs="Times New Roman"/>
          <w:b/>
          <w:sz w:val="26"/>
          <w:szCs w:val="26"/>
        </w:rPr>
        <w:t>Режим  использования  земель  и  земельных  участков  и  требования к градостроительным регламентам в границах зоны регулирования застройки и хозяйственной деятельности ЗРЗ устанавливаются едиными для двух участков (ЗРЗ-1, ЗРЗ-2) с учетом следующих требований: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53655">
        <w:rPr>
          <w:rFonts w:ascii="Times New Roman" w:hAnsi="Times New Roman" w:cs="Times New Roman"/>
          <w:b/>
          <w:sz w:val="26"/>
          <w:szCs w:val="26"/>
        </w:rPr>
        <w:t>разрешается: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снос (демонтаж) некапитальных строений и сооружений;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снос (демонтаж) объектов капитального строительства при отсутствии признаков объекта культурного наследия;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капитальный ремонт, реконструкция существующих и строительство новых объектов капитального строительства в соответствии со следующими параметрами: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высота до карниза здания не более 11 м;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характер крыш - скатный с углом наклона не более 30 градусов; применение в отделке фасадов традиционных отделочных материалов: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lastRenderedPageBreak/>
        <w:t>штукатурка, кирпич;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использование в покрытии кровли металла красных или коричневых оттенков;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капитальный ремонт, реконструкция существующих и строительство новых объектов  инженерной  инфраструктуры  (за  исключением  наземных и   надземных   сетей   теплоснабжения,   водоснабжения,   электроснабжения и газоснабжения);</w:t>
      </w:r>
    </w:p>
    <w:p w:rsidR="00853655" w:rsidRDefault="00853655" w:rsidP="00853655">
      <w:pPr>
        <w:spacing w:after="0" w:line="240" w:lineRule="auto"/>
        <w:ind w:right="-2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 xml:space="preserve">ведение приусадебного хозяйства; 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благоустройство территории;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установка элементов благоустройства (уличная мебель, малые архитектурные формы, скамьи, урны, цветочницы);</w:t>
      </w:r>
    </w:p>
    <w:p w:rsidR="00853655" w:rsidRPr="00853655" w:rsidRDefault="00853655" w:rsidP="00853655">
      <w:pPr>
        <w:spacing w:after="0" w:line="240" w:lineRule="auto"/>
        <w:ind w:right="-2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3655">
        <w:rPr>
          <w:rFonts w:ascii="Times New Roman" w:hAnsi="Times New Roman" w:cs="Times New Roman"/>
          <w:sz w:val="26"/>
          <w:szCs w:val="26"/>
        </w:rPr>
        <w:t>проведение работ по улучшению гидрогеологических и экологических условий, разработка гидрогеологических исследований с учетом возможного влияния   предполагаемых   инженерных    и    строительных    мероприятий на условия сохранения объектов культурного наследия на прилегающих территориях;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проведение  мероприятий,  направленных   на  обеспечение  пожарной и экологической безопасности;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организация    парковок     на    специально     отведенных    площадках с количеством парковочных мест согласно местным нормативам;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организация мест отдыха, детских и спортивных площадок;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 на фасадах информационных конструкций (вывесок) в виде отдельных букв и знаков без использования открытого способа свечения;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организация ночной подсветки фасадов;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 мобильных элементов информационно-декоративного оформления событийного характера, включая праздничное оформление, устанавливаемых на срок проведения публичных мероприятий;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осуществление изыскательских, земляных, строительных работ и иной хозяйственной деятельности на земельных участках, непосредственно связанных с земельным участком в границах территории объекта культурного наследия, проводятся при наличии в проектной документации разделов по обеспечению сохранности объекта культурного наследия;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b/>
          <w:sz w:val="26"/>
          <w:szCs w:val="26"/>
        </w:rPr>
      </w:pPr>
      <w:r w:rsidRPr="00853655">
        <w:rPr>
          <w:b/>
          <w:sz w:val="26"/>
          <w:szCs w:val="26"/>
        </w:rPr>
        <w:t>запрещается: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изменение исторически сложившихся границ кварталов; установка вышек-стоек сотовой связи;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частичная окраска фасадов;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установка кондиционеров, антенн и иного инженерного оборудования на фасадах зданий, выходящих на территории общего пользования;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изменение директивного уровня улиц и тротуаров;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применение строительных технологий, оказывающих негативное воздействие на объект культурного наследия;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применение в отделке фасадов железобетонных, композитных и иных панелей,     бетонных     блоков,      шлакоблоков      и      иных     материалов, не свойственных исторической среде;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размещение взрывопожароопасных объектов, объектов с динамическим воздействием, хранение огнеопасных материалов, замусоривание территории;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>прокладка инженерных коммуникаций теплоснабжения, водоснабжения, электроснабжения    и   газоснабжения    по    фасадам    зданий,    выходящим</w:t>
      </w:r>
      <w:proofErr w:type="gramStart"/>
      <w:r>
        <w:rPr>
          <w:sz w:val="26"/>
          <w:szCs w:val="26"/>
        </w:rPr>
        <w:t xml:space="preserve"> </w:t>
      </w:r>
      <w:r w:rsidRPr="00853655">
        <w:rPr>
          <w:sz w:val="26"/>
          <w:szCs w:val="26"/>
        </w:rPr>
        <w:t>.</w:t>
      </w:r>
      <w:proofErr w:type="gramEnd"/>
      <w:r w:rsidRPr="00853655">
        <w:rPr>
          <w:sz w:val="26"/>
          <w:szCs w:val="26"/>
        </w:rPr>
        <w:t>на территории общего пользования;</w:t>
      </w:r>
    </w:p>
    <w:p w:rsidR="00853655" w:rsidRPr="00853655" w:rsidRDefault="00853655" w:rsidP="00853655">
      <w:pPr>
        <w:pStyle w:val="aa"/>
        <w:ind w:right="-2" w:firstLine="700"/>
        <w:jc w:val="both"/>
        <w:rPr>
          <w:sz w:val="26"/>
          <w:szCs w:val="26"/>
        </w:rPr>
      </w:pPr>
      <w:r w:rsidRPr="00853655">
        <w:rPr>
          <w:sz w:val="26"/>
          <w:szCs w:val="26"/>
        </w:rPr>
        <w:t xml:space="preserve">прокладка инженерных коммуникаций (в том числе теплотрасс, газопровода, </w:t>
      </w:r>
      <w:proofErr w:type="spellStart"/>
      <w:r w:rsidRPr="00853655">
        <w:rPr>
          <w:sz w:val="26"/>
          <w:szCs w:val="26"/>
        </w:rPr>
        <w:t>электрокабеля</w:t>
      </w:r>
      <w:proofErr w:type="spellEnd"/>
      <w:r w:rsidRPr="00853655">
        <w:rPr>
          <w:sz w:val="26"/>
          <w:szCs w:val="26"/>
        </w:rPr>
        <w:t>) наземным и надземным способами, кроме временных, необходимых для проведения работ по сохранению объекта культурного наследия.</w:t>
      </w:r>
    </w:p>
    <w:p w:rsidR="00853655" w:rsidRDefault="00853655" w:rsidP="00E46E7B">
      <w:pPr>
        <w:pStyle w:val="aa"/>
        <w:ind w:firstLine="692"/>
        <w:jc w:val="both"/>
        <w:rPr>
          <w:sz w:val="26"/>
          <w:szCs w:val="26"/>
        </w:rPr>
      </w:pPr>
    </w:p>
    <w:p w:rsidR="00604BB6" w:rsidRP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 xml:space="preserve">Сведения о границах </w:t>
      </w:r>
      <w:r w:rsidR="00E12592" w:rsidRPr="00153674">
        <w:rPr>
          <w:rFonts w:ascii="Times New Roman" w:hAnsi="Times New Roman" w:cs="Times New Roman"/>
          <w:b/>
          <w:sz w:val="26"/>
          <w:szCs w:val="26"/>
        </w:rPr>
        <w:t xml:space="preserve">зон охраны объекта культурного наследия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местного</w:t>
      </w:r>
      <w:r w:rsidR="00853655" w:rsidRPr="00853655">
        <w:rPr>
          <w:rFonts w:ascii="Times New Roman" w:hAnsi="Times New Roman" w:cs="Times New Roman"/>
          <w:b/>
          <w:spacing w:val="70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(муниципального)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значения «Магазин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Миллера»,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>кон.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XIX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proofErr w:type="gramStart"/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в</w:t>
      </w:r>
      <w:proofErr w:type="gramEnd"/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.,</w:t>
      </w:r>
      <w:r w:rsidR="00853655" w:rsidRPr="00853655">
        <w:rPr>
          <w:rFonts w:ascii="Times New Roman" w:hAnsi="Times New Roman" w:cs="Times New Roman"/>
          <w:b/>
          <w:spacing w:val="29"/>
          <w:sz w:val="26"/>
          <w:szCs w:val="26"/>
        </w:rPr>
        <w:t xml:space="preserve"> </w:t>
      </w:r>
      <w:proofErr w:type="gramStart"/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>Саратовская</w:t>
      </w:r>
      <w:proofErr w:type="gramEnd"/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область,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>г.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Маркс, </w:t>
      </w:r>
      <w:r w:rsidR="00853655" w:rsidRPr="00853655">
        <w:rPr>
          <w:rFonts w:ascii="Times New Roman" w:hAnsi="Times New Roman" w:cs="Times New Roman"/>
          <w:b/>
          <w:spacing w:val="-2"/>
          <w:sz w:val="26"/>
          <w:szCs w:val="26"/>
        </w:rPr>
        <w:t>ул.</w:t>
      </w:r>
      <w:r w:rsidR="00853655" w:rsidRPr="0085365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Бебеля,</w:t>
      </w:r>
      <w:r w:rsidR="00853655" w:rsidRPr="00853655">
        <w:rPr>
          <w:rFonts w:ascii="Times New Roman" w:hAnsi="Times New Roman" w:cs="Times New Roman"/>
          <w:b/>
          <w:sz w:val="26"/>
          <w:szCs w:val="26"/>
        </w:rPr>
        <w:t xml:space="preserve"> 69</w:t>
      </w:r>
      <w:r w:rsidRPr="00604BB6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4BB6">
        <w:rPr>
          <w:rFonts w:ascii="Times New Roman" w:hAnsi="Times New Roman" w:cs="Times New Roman"/>
          <w:b/>
          <w:sz w:val="26"/>
          <w:szCs w:val="26"/>
        </w:rPr>
        <w:t>(наименование административно-территориальных ед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604BB6">
        <w:rPr>
          <w:rFonts w:ascii="Times New Roman" w:hAnsi="Times New Roman" w:cs="Times New Roman"/>
          <w:b/>
          <w:sz w:val="26"/>
          <w:szCs w:val="26"/>
        </w:rPr>
        <w:t>ниц и графическое описание местоположения границ такой зоны)</w:t>
      </w:r>
    </w:p>
    <w:p w:rsidR="00604BB6" w:rsidRDefault="00604BB6" w:rsidP="00604B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BB6" w:rsidRDefault="00E12592" w:rsidP="0060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592">
        <w:rPr>
          <w:rFonts w:ascii="Times New Roman" w:hAnsi="Times New Roman" w:cs="Times New Roman"/>
          <w:sz w:val="26"/>
          <w:szCs w:val="26"/>
        </w:rPr>
        <w:t xml:space="preserve">Объект культурного наследия 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>местного</w:t>
      </w:r>
      <w:r w:rsidR="00853655" w:rsidRPr="00853655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>(муниципального)</w:t>
      </w:r>
      <w:r w:rsidR="00853655" w:rsidRPr="00853655">
        <w:rPr>
          <w:rFonts w:ascii="Times New Roman" w:hAnsi="Times New Roman" w:cs="Times New Roman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>значения «Магазин</w:t>
      </w:r>
      <w:r w:rsidR="00853655" w:rsidRPr="00853655">
        <w:rPr>
          <w:rFonts w:ascii="Times New Roman" w:hAnsi="Times New Roman" w:cs="Times New Roman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 xml:space="preserve">Миллера», </w:t>
      </w:r>
      <w:r w:rsidR="00853655" w:rsidRPr="00853655">
        <w:rPr>
          <w:rFonts w:ascii="Times New Roman" w:hAnsi="Times New Roman" w:cs="Times New Roman"/>
          <w:sz w:val="26"/>
          <w:szCs w:val="26"/>
        </w:rPr>
        <w:t>кон.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>XIX</w:t>
      </w:r>
      <w:r w:rsidR="00853655" w:rsidRPr="0085365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>в.,</w:t>
      </w:r>
      <w:r w:rsidR="00853655" w:rsidRPr="0085365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>Саратовская</w:t>
      </w:r>
      <w:r w:rsidR="00853655" w:rsidRPr="00853655">
        <w:rPr>
          <w:rFonts w:ascii="Times New Roman" w:hAnsi="Times New Roman" w:cs="Times New Roman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 xml:space="preserve">область, </w:t>
      </w:r>
      <w:r w:rsidR="00853655" w:rsidRPr="00853655">
        <w:rPr>
          <w:rFonts w:ascii="Times New Roman" w:hAnsi="Times New Roman" w:cs="Times New Roman"/>
          <w:sz w:val="26"/>
          <w:szCs w:val="26"/>
        </w:rPr>
        <w:t>г.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853655" w:rsidRPr="00853655">
        <w:rPr>
          <w:rFonts w:ascii="Times New Roman" w:hAnsi="Times New Roman" w:cs="Times New Roman"/>
          <w:sz w:val="26"/>
          <w:szCs w:val="26"/>
        </w:rPr>
        <w:t xml:space="preserve">Маркс, </w:t>
      </w:r>
      <w:r w:rsidR="00853655" w:rsidRPr="00853655">
        <w:rPr>
          <w:rFonts w:ascii="Times New Roman" w:hAnsi="Times New Roman" w:cs="Times New Roman"/>
          <w:spacing w:val="-2"/>
          <w:sz w:val="26"/>
          <w:szCs w:val="26"/>
        </w:rPr>
        <w:t>ул.</w:t>
      </w:r>
      <w:r w:rsidR="00853655" w:rsidRPr="00853655">
        <w:rPr>
          <w:rFonts w:ascii="Times New Roman" w:hAnsi="Times New Roman" w:cs="Times New Roman"/>
          <w:spacing w:val="-1"/>
          <w:sz w:val="26"/>
          <w:szCs w:val="26"/>
        </w:rPr>
        <w:t xml:space="preserve"> Бебеля,</w:t>
      </w:r>
      <w:r w:rsidR="00853655" w:rsidRPr="00853655">
        <w:rPr>
          <w:rFonts w:ascii="Times New Roman" w:hAnsi="Times New Roman" w:cs="Times New Roman"/>
          <w:sz w:val="26"/>
          <w:szCs w:val="26"/>
        </w:rPr>
        <w:t xml:space="preserve"> 69</w:t>
      </w:r>
      <w:r w:rsidRPr="00E12592">
        <w:rPr>
          <w:rFonts w:ascii="Times New Roman" w:hAnsi="Times New Roman" w:cs="Times New Roman"/>
          <w:sz w:val="26"/>
          <w:szCs w:val="26"/>
        </w:rPr>
        <w:t>,</w:t>
      </w:r>
      <w:r w:rsidR="00604BB6">
        <w:rPr>
          <w:rFonts w:ascii="Times New Roman" w:hAnsi="Times New Roman" w:cs="Times New Roman"/>
          <w:sz w:val="26"/>
          <w:szCs w:val="26"/>
        </w:rPr>
        <w:t xml:space="preserve"> с описанием местоположения границ </w:t>
      </w:r>
      <w:r w:rsidR="00B62B98">
        <w:rPr>
          <w:rFonts w:ascii="Times New Roman" w:hAnsi="Times New Roman" w:cs="Times New Roman"/>
          <w:sz w:val="26"/>
          <w:szCs w:val="26"/>
        </w:rPr>
        <w:t>зон охраны</w:t>
      </w:r>
      <w:r w:rsidR="00604BB6">
        <w:rPr>
          <w:rFonts w:ascii="Times New Roman" w:hAnsi="Times New Roman" w:cs="Times New Roman"/>
          <w:sz w:val="26"/>
          <w:szCs w:val="26"/>
        </w:rPr>
        <w:t xml:space="preserve"> в </w:t>
      </w:r>
      <w:r w:rsidR="00B62B98">
        <w:rPr>
          <w:rFonts w:ascii="Times New Roman" w:hAnsi="Times New Roman" w:cs="Times New Roman"/>
          <w:sz w:val="26"/>
          <w:szCs w:val="26"/>
        </w:rPr>
        <w:t>соответствии</w:t>
      </w:r>
      <w:r w:rsidR="00604BB6">
        <w:rPr>
          <w:rFonts w:ascii="Times New Roman" w:hAnsi="Times New Roman" w:cs="Times New Roman"/>
          <w:sz w:val="26"/>
          <w:szCs w:val="26"/>
        </w:rPr>
        <w:t xml:space="preserve"> с координатами характерных точек, принятых для ведения Единого государственного реестра недвижимости в местной системе географических координат (ориентация осей:</w:t>
      </w:r>
      <w:proofErr w:type="gramEnd"/>
      <w:r w:rsidR="0060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04BB6">
        <w:rPr>
          <w:rFonts w:ascii="Times New Roman" w:hAnsi="Times New Roman" w:cs="Times New Roman"/>
          <w:sz w:val="26"/>
          <w:szCs w:val="26"/>
        </w:rPr>
        <w:t>Х – северная долгота, Y – восточная долгота):</w:t>
      </w:r>
      <w:proofErr w:type="gramEnd"/>
    </w:p>
    <w:p w:rsidR="00853655" w:rsidRDefault="00853655" w:rsidP="00604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23"/>
        <w:gridCol w:w="4323"/>
      </w:tblGrid>
      <w:tr w:rsidR="00604BB6" w:rsidRPr="00604BB6" w:rsidTr="00604BB6">
        <w:tc>
          <w:tcPr>
            <w:tcW w:w="993" w:type="dxa"/>
            <w:vMerge w:val="restart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№ точки</w:t>
            </w:r>
          </w:p>
        </w:tc>
        <w:tc>
          <w:tcPr>
            <w:tcW w:w="8646" w:type="dxa"/>
            <w:gridSpan w:val="2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в </w:t>
            </w: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МСК-64</w:t>
            </w:r>
          </w:p>
        </w:tc>
      </w:tr>
      <w:tr w:rsidR="00604BB6" w:rsidRPr="00604BB6" w:rsidTr="00604BB6">
        <w:tc>
          <w:tcPr>
            <w:tcW w:w="993" w:type="dxa"/>
            <w:vMerge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604BB6" w:rsidRPr="00604BB6" w:rsidTr="00604BB6">
        <w:tc>
          <w:tcPr>
            <w:tcW w:w="99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EAF1DD"/>
            <w:vAlign w:val="center"/>
          </w:tcPr>
          <w:p w:rsidR="00604BB6" w:rsidRPr="00604BB6" w:rsidRDefault="00604BB6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B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A7B" w:rsidRPr="00604BB6" w:rsidTr="00E87A7B">
        <w:tc>
          <w:tcPr>
            <w:tcW w:w="9639" w:type="dxa"/>
            <w:gridSpan w:val="3"/>
            <w:shd w:val="clear" w:color="auto" w:fill="auto"/>
          </w:tcPr>
          <w:p w:rsidR="00E87A7B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04B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517256.98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2348317.80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517271.33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2348301.82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517289.68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2348317.90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517276.59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2348333.00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517281.69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2348344.80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517299.99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2348360.61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517290.37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2348371.95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517278.39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2348361.06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517264.92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2348376.13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517262.76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2348378.54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  <w:vAlign w:val="center"/>
          </w:tcPr>
          <w:p w:rsidR="00EC3EBA" w:rsidRPr="00604BB6" w:rsidRDefault="00EC3EBA" w:rsidP="00EC3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517261.12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2348380.04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517250.85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2348373.24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517248.69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2348366.89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517250.79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2348361.25</w:t>
            </w:r>
          </w:p>
        </w:tc>
      </w:tr>
      <w:tr w:rsidR="00EC3EBA" w:rsidRPr="00604BB6" w:rsidTr="00EC3EBA">
        <w:trPr>
          <w:trHeight w:val="222"/>
        </w:trPr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517253.73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2348356.06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517261.79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2348346.33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517256.72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2348341.77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Pr="00604BB6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517251.98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2348336.96</w:t>
            </w:r>
          </w:p>
        </w:tc>
      </w:tr>
      <w:tr w:rsidR="00EC3EBA" w:rsidRPr="00604BB6" w:rsidTr="00EC3EBA">
        <w:tc>
          <w:tcPr>
            <w:tcW w:w="993" w:type="dxa"/>
            <w:shd w:val="clear" w:color="auto" w:fill="auto"/>
          </w:tcPr>
          <w:p w:rsidR="00EC3EBA" w:rsidRDefault="00EC3EBA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517245.30</w:t>
            </w:r>
          </w:p>
        </w:tc>
        <w:tc>
          <w:tcPr>
            <w:tcW w:w="4323" w:type="dxa"/>
            <w:shd w:val="clear" w:color="auto" w:fill="auto"/>
            <w:vAlign w:val="center"/>
          </w:tcPr>
          <w:p w:rsidR="00EC3EBA" w:rsidRPr="00EC3EBA" w:rsidRDefault="00EC3EBA" w:rsidP="00EC3EBA">
            <w:pPr>
              <w:pStyle w:val="TableParagraph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BA">
              <w:rPr>
                <w:rFonts w:ascii="Times New Roman" w:hAnsi="Times New Roman"/>
                <w:sz w:val="24"/>
                <w:szCs w:val="24"/>
              </w:rPr>
              <w:t>2348330.96</w:t>
            </w:r>
          </w:p>
        </w:tc>
      </w:tr>
      <w:tr w:rsidR="00580C84" w:rsidRPr="00604BB6" w:rsidTr="00EC3EBA">
        <w:tc>
          <w:tcPr>
            <w:tcW w:w="9639" w:type="dxa"/>
            <w:gridSpan w:val="3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ЗРЗ-1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517261.12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2348380.04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517250.85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2348373.24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517248.69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2348366.89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517250.79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2348361.25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517253.73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2348356.06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517261.79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2348346.33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517256.72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2348341.77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517251.98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2348336.96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517228.77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2348364.12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517217.08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2348378.29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517213.56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2348382.56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517209.85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w w:val="105"/>
                <w:sz w:val="24"/>
                <w:szCs w:val="24"/>
              </w:rPr>
              <w:t>2348386.24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517211.74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2348387.86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517216.33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2348391.78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517218.71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2348393.76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517221.71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2348396.09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517222.77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2348396.91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517225.74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2348399.23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517229.28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2348394.92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517238.39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2348402.57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517244.93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2348394.76</w:t>
            </w:r>
          </w:p>
        </w:tc>
      </w:tr>
      <w:tr w:rsidR="00A42098" w:rsidRPr="00604BB6" w:rsidTr="00604BB6">
        <w:tc>
          <w:tcPr>
            <w:tcW w:w="993" w:type="dxa"/>
            <w:shd w:val="clear" w:color="auto" w:fill="auto"/>
          </w:tcPr>
          <w:p w:rsidR="00A42098" w:rsidRPr="00604BB6" w:rsidRDefault="00A42098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517252.41</w:t>
            </w:r>
          </w:p>
        </w:tc>
        <w:tc>
          <w:tcPr>
            <w:tcW w:w="4323" w:type="dxa"/>
            <w:shd w:val="clear" w:color="auto" w:fill="auto"/>
          </w:tcPr>
          <w:p w:rsidR="00A42098" w:rsidRPr="00A42098" w:rsidRDefault="00A42098" w:rsidP="00A4209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98">
              <w:rPr>
                <w:rFonts w:ascii="Times New Roman"/>
                <w:sz w:val="24"/>
                <w:szCs w:val="24"/>
              </w:rPr>
              <w:t>2348385.46</w:t>
            </w:r>
          </w:p>
        </w:tc>
      </w:tr>
      <w:tr w:rsidR="00580C84" w:rsidRPr="00604BB6" w:rsidTr="00EC3EBA">
        <w:tc>
          <w:tcPr>
            <w:tcW w:w="9639" w:type="dxa"/>
            <w:gridSpan w:val="3"/>
            <w:shd w:val="clear" w:color="auto" w:fill="auto"/>
          </w:tcPr>
          <w:p w:rsidR="00580C84" w:rsidRPr="00604BB6" w:rsidRDefault="00580C84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ЗРЗ-2</w:t>
            </w:r>
          </w:p>
        </w:tc>
      </w:tr>
      <w:tr w:rsidR="00637879" w:rsidRPr="00604BB6" w:rsidTr="00604BB6">
        <w:tc>
          <w:tcPr>
            <w:tcW w:w="993" w:type="dxa"/>
            <w:shd w:val="clear" w:color="auto" w:fill="auto"/>
          </w:tcPr>
          <w:p w:rsidR="00637879" w:rsidRPr="00604BB6" w:rsidRDefault="00637879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517290.37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2348371.95</w:t>
            </w:r>
          </w:p>
        </w:tc>
      </w:tr>
      <w:tr w:rsidR="00637879" w:rsidRPr="00604BB6" w:rsidTr="00604BB6">
        <w:tc>
          <w:tcPr>
            <w:tcW w:w="993" w:type="dxa"/>
            <w:shd w:val="clear" w:color="auto" w:fill="auto"/>
          </w:tcPr>
          <w:p w:rsidR="00637879" w:rsidRPr="00604BB6" w:rsidRDefault="00637879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517278.39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2348361.06</w:t>
            </w:r>
          </w:p>
        </w:tc>
      </w:tr>
      <w:tr w:rsidR="00637879" w:rsidRPr="00604BB6" w:rsidTr="00604BB6">
        <w:tc>
          <w:tcPr>
            <w:tcW w:w="993" w:type="dxa"/>
            <w:shd w:val="clear" w:color="auto" w:fill="auto"/>
          </w:tcPr>
          <w:p w:rsidR="00637879" w:rsidRPr="00604BB6" w:rsidRDefault="00637879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517264.92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2348376.13</w:t>
            </w:r>
          </w:p>
        </w:tc>
      </w:tr>
      <w:tr w:rsidR="00637879" w:rsidRPr="00604BB6" w:rsidTr="00604BB6">
        <w:tc>
          <w:tcPr>
            <w:tcW w:w="993" w:type="dxa"/>
            <w:shd w:val="clear" w:color="auto" w:fill="auto"/>
          </w:tcPr>
          <w:p w:rsidR="00637879" w:rsidRPr="00604BB6" w:rsidRDefault="00637879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517262.76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2348378.54</w:t>
            </w:r>
          </w:p>
        </w:tc>
      </w:tr>
      <w:tr w:rsidR="00637879" w:rsidRPr="00604BB6" w:rsidTr="00604BB6">
        <w:tc>
          <w:tcPr>
            <w:tcW w:w="993" w:type="dxa"/>
            <w:shd w:val="clear" w:color="auto" w:fill="auto"/>
          </w:tcPr>
          <w:p w:rsidR="00637879" w:rsidRPr="00604BB6" w:rsidRDefault="00637879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517261.12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2348380.04</w:t>
            </w:r>
          </w:p>
        </w:tc>
      </w:tr>
      <w:tr w:rsidR="00637879" w:rsidRPr="00604BB6" w:rsidTr="00604BB6">
        <w:tc>
          <w:tcPr>
            <w:tcW w:w="993" w:type="dxa"/>
            <w:shd w:val="clear" w:color="auto" w:fill="auto"/>
          </w:tcPr>
          <w:p w:rsidR="00637879" w:rsidRPr="00604BB6" w:rsidRDefault="00637879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517284.29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2348400.39</w:t>
            </w:r>
          </w:p>
        </w:tc>
      </w:tr>
      <w:tr w:rsidR="00637879" w:rsidRPr="00604BB6" w:rsidTr="00604BB6">
        <w:tc>
          <w:tcPr>
            <w:tcW w:w="993" w:type="dxa"/>
            <w:shd w:val="clear" w:color="auto" w:fill="auto"/>
          </w:tcPr>
          <w:p w:rsidR="00637879" w:rsidRPr="00604BB6" w:rsidRDefault="00637879" w:rsidP="00604B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517301.44</w:t>
            </w:r>
          </w:p>
        </w:tc>
        <w:tc>
          <w:tcPr>
            <w:tcW w:w="4323" w:type="dxa"/>
            <w:shd w:val="clear" w:color="auto" w:fill="auto"/>
          </w:tcPr>
          <w:p w:rsidR="00637879" w:rsidRPr="00637879" w:rsidRDefault="00637879" w:rsidP="0063787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879">
              <w:rPr>
                <w:rFonts w:ascii="Times New Roman"/>
                <w:sz w:val="24"/>
                <w:szCs w:val="24"/>
              </w:rPr>
              <w:t>2348380.88</w:t>
            </w:r>
          </w:p>
        </w:tc>
      </w:tr>
    </w:tbl>
    <w:p w:rsidR="00604BB6" w:rsidRDefault="00604BB6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BD7847" w:rsidRPr="00BD7847" w:rsidRDefault="00BD7847" w:rsidP="00712A06">
      <w:pPr>
        <w:keepNext/>
        <w:widowControl w:val="0"/>
        <w:rPr>
          <w:rFonts w:ascii="Times New Roman" w:hAnsi="Times New Roman" w:cs="Times New Roman"/>
          <w:b/>
          <w:sz w:val="26"/>
          <w:szCs w:val="26"/>
        </w:rPr>
      </w:pPr>
    </w:p>
    <w:p w:rsidR="00BD7847" w:rsidRPr="00BD7847" w:rsidRDefault="00BD7847" w:rsidP="00BD784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7847">
        <w:rPr>
          <w:rFonts w:ascii="Times New Roman" w:hAnsi="Times New Roman" w:cs="Times New Roman"/>
          <w:b/>
          <w:sz w:val="26"/>
          <w:szCs w:val="26"/>
        </w:rPr>
        <w:t>Секретарь  Совета  муниципального</w:t>
      </w:r>
    </w:p>
    <w:p w:rsidR="00BD7847" w:rsidRPr="00BD7847" w:rsidRDefault="00BD7847" w:rsidP="00BD7847">
      <w:pPr>
        <w:keepNext/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7847">
        <w:rPr>
          <w:rFonts w:ascii="Times New Roman" w:hAnsi="Times New Roman" w:cs="Times New Roman"/>
          <w:b/>
          <w:sz w:val="26"/>
          <w:szCs w:val="26"/>
        </w:rPr>
        <w:t xml:space="preserve">образования город Маркс                                                                            А.А. </w:t>
      </w:r>
      <w:proofErr w:type="spellStart"/>
      <w:r w:rsidRPr="00BD7847">
        <w:rPr>
          <w:rFonts w:ascii="Times New Roman" w:hAnsi="Times New Roman" w:cs="Times New Roman"/>
          <w:b/>
          <w:sz w:val="26"/>
          <w:szCs w:val="26"/>
        </w:rPr>
        <w:t>Моор</w:t>
      </w:r>
      <w:proofErr w:type="spellEnd"/>
    </w:p>
    <w:sectPr w:rsidR="00BD7847" w:rsidRPr="00BD7847" w:rsidSect="00D55B6E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D4" w:rsidRDefault="00007DD4" w:rsidP="00362EE4">
      <w:pPr>
        <w:spacing w:after="0" w:line="240" w:lineRule="auto"/>
      </w:pPr>
      <w:r>
        <w:separator/>
      </w:r>
    </w:p>
  </w:endnote>
  <w:endnote w:type="continuationSeparator" w:id="0">
    <w:p w:rsidR="00007DD4" w:rsidRDefault="00007DD4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BA" w:rsidRDefault="00EC3EBA">
    <w:pPr>
      <w:pStyle w:val="a5"/>
      <w:jc w:val="right"/>
    </w:pPr>
  </w:p>
  <w:p w:rsidR="00EC3EBA" w:rsidRDefault="00EC3E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D4" w:rsidRDefault="00007DD4" w:rsidP="00362EE4">
      <w:pPr>
        <w:spacing w:after="0" w:line="240" w:lineRule="auto"/>
      </w:pPr>
      <w:r>
        <w:separator/>
      </w:r>
    </w:p>
  </w:footnote>
  <w:footnote w:type="continuationSeparator" w:id="0">
    <w:p w:rsidR="00007DD4" w:rsidRDefault="00007DD4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3600090"/>
    <w:multiLevelType w:val="hybridMultilevel"/>
    <w:tmpl w:val="413E6CE4"/>
    <w:lvl w:ilvl="0" w:tplc="E0B416E0">
      <w:start w:val="1"/>
      <w:numFmt w:val="decimal"/>
      <w:lvlText w:val="%1."/>
      <w:lvlJc w:val="left"/>
      <w:pPr>
        <w:ind w:left="1929" w:hanging="239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1898FA">
      <w:start w:val="1"/>
      <w:numFmt w:val="bullet"/>
      <w:lvlText w:val="•"/>
      <w:lvlJc w:val="left"/>
      <w:pPr>
        <w:ind w:left="2934" w:hanging="239"/>
      </w:pPr>
      <w:rPr>
        <w:rFonts w:hint="default"/>
      </w:rPr>
    </w:lvl>
    <w:lvl w:ilvl="2" w:tplc="59CC6672">
      <w:start w:val="1"/>
      <w:numFmt w:val="bullet"/>
      <w:lvlText w:val="•"/>
      <w:lvlJc w:val="left"/>
      <w:pPr>
        <w:ind w:left="3939" w:hanging="239"/>
      </w:pPr>
      <w:rPr>
        <w:rFonts w:hint="default"/>
      </w:rPr>
    </w:lvl>
    <w:lvl w:ilvl="3" w:tplc="AC0490BC">
      <w:start w:val="1"/>
      <w:numFmt w:val="bullet"/>
      <w:lvlText w:val="•"/>
      <w:lvlJc w:val="left"/>
      <w:pPr>
        <w:ind w:left="4944" w:hanging="239"/>
      </w:pPr>
      <w:rPr>
        <w:rFonts w:hint="default"/>
      </w:rPr>
    </w:lvl>
    <w:lvl w:ilvl="4" w:tplc="15D2A0EA">
      <w:start w:val="1"/>
      <w:numFmt w:val="bullet"/>
      <w:lvlText w:val="•"/>
      <w:lvlJc w:val="left"/>
      <w:pPr>
        <w:ind w:left="5949" w:hanging="239"/>
      </w:pPr>
      <w:rPr>
        <w:rFonts w:hint="default"/>
      </w:rPr>
    </w:lvl>
    <w:lvl w:ilvl="5" w:tplc="C7F69BAE">
      <w:start w:val="1"/>
      <w:numFmt w:val="bullet"/>
      <w:lvlText w:val="•"/>
      <w:lvlJc w:val="left"/>
      <w:pPr>
        <w:ind w:left="6954" w:hanging="239"/>
      </w:pPr>
      <w:rPr>
        <w:rFonts w:hint="default"/>
      </w:rPr>
    </w:lvl>
    <w:lvl w:ilvl="6" w:tplc="FDB80138">
      <w:start w:val="1"/>
      <w:numFmt w:val="bullet"/>
      <w:lvlText w:val="•"/>
      <w:lvlJc w:val="left"/>
      <w:pPr>
        <w:ind w:left="7960" w:hanging="239"/>
      </w:pPr>
      <w:rPr>
        <w:rFonts w:hint="default"/>
      </w:rPr>
    </w:lvl>
    <w:lvl w:ilvl="7" w:tplc="16ECD37C">
      <w:start w:val="1"/>
      <w:numFmt w:val="bullet"/>
      <w:lvlText w:val="•"/>
      <w:lvlJc w:val="left"/>
      <w:pPr>
        <w:ind w:left="8965" w:hanging="239"/>
      </w:pPr>
      <w:rPr>
        <w:rFonts w:hint="default"/>
      </w:rPr>
    </w:lvl>
    <w:lvl w:ilvl="8" w:tplc="ECF4F464">
      <w:start w:val="1"/>
      <w:numFmt w:val="bullet"/>
      <w:lvlText w:val="•"/>
      <w:lvlJc w:val="left"/>
      <w:pPr>
        <w:ind w:left="9970" w:hanging="239"/>
      </w:pPr>
      <w:rPr>
        <w:rFonts w:hint="default"/>
      </w:rPr>
    </w:lvl>
  </w:abstractNum>
  <w:abstractNum w:abstractNumId="4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7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8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1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3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6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9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5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7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9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4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5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7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7E013590"/>
    <w:multiLevelType w:val="hybridMultilevel"/>
    <w:tmpl w:val="413E6CE4"/>
    <w:lvl w:ilvl="0" w:tplc="E0B416E0">
      <w:start w:val="1"/>
      <w:numFmt w:val="decimal"/>
      <w:lvlText w:val="%1."/>
      <w:lvlJc w:val="left"/>
      <w:pPr>
        <w:ind w:left="1929" w:hanging="239"/>
        <w:jc w:val="right"/>
      </w:pPr>
      <w:rPr>
        <w:rFonts w:ascii="Times New Roman" w:eastAsia="Times New Roman" w:hAnsi="Times New Roman" w:hint="default"/>
        <w:w w:val="99"/>
        <w:sz w:val="27"/>
        <w:szCs w:val="27"/>
      </w:rPr>
    </w:lvl>
    <w:lvl w:ilvl="1" w:tplc="DD1898FA">
      <w:start w:val="1"/>
      <w:numFmt w:val="bullet"/>
      <w:lvlText w:val="•"/>
      <w:lvlJc w:val="left"/>
      <w:pPr>
        <w:ind w:left="2934" w:hanging="239"/>
      </w:pPr>
      <w:rPr>
        <w:rFonts w:hint="default"/>
      </w:rPr>
    </w:lvl>
    <w:lvl w:ilvl="2" w:tplc="59CC6672">
      <w:start w:val="1"/>
      <w:numFmt w:val="bullet"/>
      <w:lvlText w:val="•"/>
      <w:lvlJc w:val="left"/>
      <w:pPr>
        <w:ind w:left="3939" w:hanging="239"/>
      </w:pPr>
      <w:rPr>
        <w:rFonts w:hint="default"/>
      </w:rPr>
    </w:lvl>
    <w:lvl w:ilvl="3" w:tplc="AC0490BC">
      <w:start w:val="1"/>
      <w:numFmt w:val="bullet"/>
      <w:lvlText w:val="•"/>
      <w:lvlJc w:val="left"/>
      <w:pPr>
        <w:ind w:left="4944" w:hanging="239"/>
      </w:pPr>
      <w:rPr>
        <w:rFonts w:hint="default"/>
      </w:rPr>
    </w:lvl>
    <w:lvl w:ilvl="4" w:tplc="15D2A0EA">
      <w:start w:val="1"/>
      <w:numFmt w:val="bullet"/>
      <w:lvlText w:val="•"/>
      <w:lvlJc w:val="left"/>
      <w:pPr>
        <w:ind w:left="5949" w:hanging="239"/>
      </w:pPr>
      <w:rPr>
        <w:rFonts w:hint="default"/>
      </w:rPr>
    </w:lvl>
    <w:lvl w:ilvl="5" w:tplc="C7F69BAE">
      <w:start w:val="1"/>
      <w:numFmt w:val="bullet"/>
      <w:lvlText w:val="•"/>
      <w:lvlJc w:val="left"/>
      <w:pPr>
        <w:ind w:left="6954" w:hanging="239"/>
      </w:pPr>
      <w:rPr>
        <w:rFonts w:hint="default"/>
      </w:rPr>
    </w:lvl>
    <w:lvl w:ilvl="6" w:tplc="FDB80138">
      <w:start w:val="1"/>
      <w:numFmt w:val="bullet"/>
      <w:lvlText w:val="•"/>
      <w:lvlJc w:val="left"/>
      <w:pPr>
        <w:ind w:left="7960" w:hanging="239"/>
      </w:pPr>
      <w:rPr>
        <w:rFonts w:hint="default"/>
      </w:rPr>
    </w:lvl>
    <w:lvl w:ilvl="7" w:tplc="16ECD37C">
      <w:start w:val="1"/>
      <w:numFmt w:val="bullet"/>
      <w:lvlText w:val="•"/>
      <w:lvlJc w:val="left"/>
      <w:pPr>
        <w:ind w:left="8965" w:hanging="239"/>
      </w:pPr>
      <w:rPr>
        <w:rFonts w:hint="default"/>
      </w:rPr>
    </w:lvl>
    <w:lvl w:ilvl="8" w:tplc="ECF4F464">
      <w:start w:val="1"/>
      <w:numFmt w:val="bullet"/>
      <w:lvlText w:val="•"/>
      <w:lvlJc w:val="left"/>
      <w:pPr>
        <w:ind w:left="9970" w:hanging="239"/>
      </w:pPr>
      <w:rPr>
        <w:rFonts w:hint="default"/>
      </w:rPr>
    </w:lvl>
  </w:abstractNum>
  <w:abstractNum w:abstractNumId="43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2"/>
  </w:num>
  <w:num w:numId="5">
    <w:abstractNumId w:val="18"/>
  </w:num>
  <w:num w:numId="6">
    <w:abstractNumId w:val="34"/>
  </w:num>
  <w:num w:numId="7">
    <w:abstractNumId w:val="36"/>
  </w:num>
  <w:num w:numId="8">
    <w:abstractNumId w:val="0"/>
  </w:num>
  <w:num w:numId="9">
    <w:abstractNumId w:val="15"/>
  </w:num>
  <w:num w:numId="10">
    <w:abstractNumId w:val="33"/>
  </w:num>
  <w:num w:numId="11">
    <w:abstractNumId w:val="28"/>
  </w:num>
  <w:num w:numId="12">
    <w:abstractNumId w:val="10"/>
  </w:num>
  <w:num w:numId="13">
    <w:abstractNumId w:val="6"/>
  </w:num>
  <w:num w:numId="14">
    <w:abstractNumId w:val="26"/>
  </w:num>
  <w:num w:numId="15">
    <w:abstractNumId w:val="24"/>
  </w:num>
  <w:num w:numId="16">
    <w:abstractNumId w:val="43"/>
  </w:num>
  <w:num w:numId="17">
    <w:abstractNumId w:val="9"/>
  </w:num>
  <w:num w:numId="18">
    <w:abstractNumId w:val="25"/>
  </w:num>
  <w:num w:numId="19">
    <w:abstractNumId w:val="4"/>
  </w:num>
  <w:num w:numId="20">
    <w:abstractNumId w:val="17"/>
  </w:num>
  <w:num w:numId="21">
    <w:abstractNumId w:val="32"/>
  </w:num>
  <w:num w:numId="22">
    <w:abstractNumId w:val="1"/>
  </w:num>
  <w:num w:numId="23">
    <w:abstractNumId w:val="41"/>
  </w:num>
  <w:num w:numId="24">
    <w:abstractNumId w:val="16"/>
  </w:num>
  <w:num w:numId="25">
    <w:abstractNumId w:val="21"/>
  </w:num>
  <w:num w:numId="26">
    <w:abstractNumId w:val="29"/>
  </w:num>
  <w:num w:numId="27">
    <w:abstractNumId w:val="31"/>
  </w:num>
  <w:num w:numId="28">
    <w:abstractNumId w:val="14"/>
  </w:num>
  <w:num w:numId="29">
    <w:abstractNumId w:val="5"/>
  </w:num>
  <w:num w:numId="30">
    <w:abstractNumId w:val="20"/>
  </w:num>
  <w:num w:numId="31">
    <w:abstractNumId w:val="30"/>
  </w:num>
  <w:num w:numId="32">
    <w:abstractNumId w:val="35"/>
  </w:num>
  <w:num w:numId="33">
    <w:abstractNumId w:val="19"/>
  </w:num>
  <w:num w:numId="34">
    <w:abstractNumId w:val="11"/>
  </w:num>
  <w:num w:numId="35">
    <w:abstractNumId w:val="13"/>
  </w:num>
  <w:num w:numId="36">
    <w:abstractNumId w:val="39"/>
  </w:num>
  <w:num w:numId="37">
    <w:abstractNumId w:val="37"/>
  </w:num>
  <w:num w:numId="38">
    <w:abstractNumId w:val="22"/>
  </w:num>
  <w:num w:numId="39">
    <w:abstractNumId w:val="27"/>
  </w:num>
  <w:num w:numId="40">
    <w:abstractNumId w:val="38"/>
  </w:num>
  <w:num w:numId="41">
    <w:abstractNumId w:val="40"/>
  </w:num>
  <w:num w:numId="42">
    <w:abstractNumId w:val="8"/>
  </w:num>
  <w:num w:numId="43">
    <w:abstractNumId w:val="42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07DD4"/>
    <w:rsid w:val="00032EC0"/>
    <w:rsid w:val="000837F6"/>
    <w:rsid w:val="000D4D4F"/>
    <w:rsid w:val="00111438"/>
    <w:rsid w:val="001134F2"/>
    <w:rsid w:val="00133467"/>
    <w:rsid w:val="00153674"/>
    <w:rsid w:val="001A4AB3"/>
    <w:rsid w:val="002353C8"/>
    <w:rsid w:val="0028065E"/>
    <w:rsid w:val="002B0935"/>
    <w:rsid w:val="00315A00"/>
    <w:rsid w:val="003322B5"/>
    <w:rsid w:val="00341A86"/>
    <w:rsid w:val="00362EE4"/>
    <w:rsid w:val="00380931"/>
    <w:rsid w:val="00395C76"/>
    <w:rsid w:val="003A6500"/>
    <w:rsid w:val="00580C84"/>
    <w:rsid w:val="005A6445"/>
    <w:rsid w:val="005C3E19"/>
    <w:rsid w:val="00604BB6"/>
    <w:rsid w:val="00637879"/>
    <w:rsid w:val="006701C8"/>
    <w:rsid w:val="00671161"/>
    <w:rsid w:val="00682B5B"/>
    <w:rsid w:val="006B3DF0"/>
    <w:rsid w:val="006B6FE8"/>
    <w:rsid w:val="006B7B6A"/>
    <w:rsid w:val="006E6276"/>
    <w:rsid w:val="007051A3"/>
    <w:rsid w:val="00712A06"/>
    <w:rsid w:val="00754D7D"/>
    <w:rsid w:val="00765AD2"/>
    <w:rsid w:val="007862BD"/>
    <w:rsid w:val="007D356F"/>
    <w:rsid w:val="00806757"/>
    <w:rsid w:val="00806E75"/>
    <w:rsid w:val="008107AC"/>
    <w:rsid w:val="00812D0D"/>
    <w:rsid w:val="00853655"/>
    <w:rsid w:val="00863006"/>
    <w:rsid w:val="00882E4F"/>
    <w:rsid w:val="008E2D0B"/>
    <w:rsid w:val="00957A53"/>
    <w:rsid w:val="0096222C"/>
    <w:rsid w:val="00972873"/>
    <w:rsid w:val="00994BB3"/>
    <w:rsid w:val="009C569A"/>
    <w:rsid w:val="00A42098"/>
    <w:rsid w:val="00A45FCB"/>
    <w:rsid w:val="00A46ADE"/>
    <w:rsid w:val="00A739A5"/>
    <w:rsid w:val="00A91152"/>
    <w:rsid w:val="00A92E1A"/>
    <w:rsid w:val="00AC0BA6"/>
    <w:rsid w:val="00AC3A3C"/>
    <w:rsid w:val="00B030DE"/>
    <w:rsid w:val="00B26075"/>
    <w:rsid w:val="00B533F1"/>
    <w:rsid w:val="00B62B98"/>
    <w:rsid w:val="00B63531"/>
    <w:rsid w:val="00B93215"/>
    <w:rsid w:val="00BD0AF9"/>
    <w:rsid w:val="00BD7847"/>
    <w:rsid w:val="00C03760"/>
    <w:rsid w:val="00C35878"/>
    <w:rsid w:val="00C41A47"/>
    <w:rsid w:val="00C85903"/>
    <w:rsid w:val="00C9462E"/>
    <w:rsid w:val="00CA2A6A"/>
    <w:rsid w:val="00CF01FF"/>
    <w:rsid w:val="00D55B6E"/>
    <w:rsid w:val="00D67FAB"/>
    <w:rsid w:val="00D80361"/>
    <w:rsid w:val="00DA3315"/>
    <w:rsid w:val="00E12592"/>
    <w:rsid w:val="00E46E7B"/>
    <w:rsid w:val="00E7055E"/>
    <w:rsid w:val="00E86B60"/>
    <w:rsid w:val="00E87A7B"/>
    <w:rsid w:val="00EC3EBA"/>
    <w:rsid w:val="00EE68A9"/>
    <w:rsid w:val="00F47C46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1">
    <w:name w:val="heading 1"/>
    <w:basedOn w:val="a"/>
    <w:link w:val="10"/>
    <w:uiPriority w:val="1"/>
    <w:qFormat/>
    <w:rsid w:val="0060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604BB6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4BB6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link w:val="a8"/>
    <w:uiPriority w:val="99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8">
    <w:name w:val="Обычный (веб) Знак"/>
    <w:link w:val="a7"/>
    <w:uiPriority w:val="99"/>
    <w:rsid w:val="00604BB6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BB3"/>
    <w:rPr>
      <w:rFonts w:ascii="Consolas" w:hAnsi="Consolas" w:cs="Consolas"/>
      <w:sz w:val="20"/>
      <w:szCs w:val="20"/>
    </w:rPr>
  </w:style>
  <w:style w:type="paragraph" w:customStyle="1" w:styleId="ConsPlusTitle">
    <w:name w:val="ConsPlusTitle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04BB6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60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1"/>
    <w:qFormat/>
    <w:rsid w:val="00604BB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604BB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1"/>
    <w:rsid w:val="00604BB6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60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604BB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604BB6"/>
    <w:pPr>
      <w:spacing w:after="0" w:line="240" w:lineRule="auto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04BB6"/>
  </w:style>
  <w:style w:type="paragraph" w:styleId="ae">
    <w:name w:val="Body Text Indent"/>
    <w:basedOn w:val="a"/>
    <w:link w:val="ad"/>
    <w:uiPriority w:val="99"/>
    <w:semiHidden/>
    <w:unhideWhenUsed/>
    <w:rsid w:val="00604BB6"/>
    <w:pPr>
      <w:spacing w:after="120"/>
      <w:ind w:left="283"/>
    </w:pPr>
  </w:style>
  <w:style w:type="character" w:customStyle="1" w:styleId="af">
    <w:name w:val="Гипертекстовая ссылка"/>
    <w:basedOn w:val="a0"/>
    <w:uiPriority w:val="99"/>
    <w:rsid w:val="00604BB6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60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604BB6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604BB6"/>
    <w:rPr>
      <w:b/>
      <w:bCs/>
      <w:color w:val="000080"/>
      <w:sz w:val="20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604BB6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604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604BB6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604BB6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04BB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604BB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604BB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604BB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604BB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604BB6"/>
    <w:rPr>
      <w:b/>
      <w:bCs/>
    </w:rPr>
  </w:style>
  <w:style w:type="paragraph" w:customStyle="1" w:styleId="11">
    <w:name w:val="Обычный1"/>
    <w:rsid w:val="00604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604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9486070.200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8030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59</cp:revision>
  <cp:lastPrinted>2020-06-29T05:08:00Z</cp:lastPrinted>
  <dcterms:created xsi:type="dcterms:W3CDTF">2016-12-26T09:24:00Z</dcterms:created>
  <dcterms:modified xsi:type="dcterms:W3CDTF">2020-06-29T05:09:00Z</dcterms:modified>
</cp:coreProperties>
</file>